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B112"/>
    <w:p w14:paraId="0299F76B"/>
    <w:p w14:paraId="46B74879">
      <w:pPr>
        <w:jc w:val="center"/>
        <w:rPr>
          <w:rFonts w:hint="eastAsia" w:ascii="等线" w:hAnsi="等线" w:eastAsia="等线" w:cstheme="minorHAnsi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32"/>
          <w:szCs w:val="32"/>
          <w:lang w:val="zh-Hans" w:eastAsia="zh-CN"/>
        </w:rPr>
        <w:t>国际行为分析组织</w:t>
      </w:r>
      <w:r>
        <w:rPr>
          <w:rFonts w:hint="eastAsia" w:ascii="等线" w:hAnsi="等线" w:eastAsia="等线" w:cstheme="minorHAnsi"/>
          <w:b/>
          <w:bCs/>
          <w:sz w:val="32"/>
          <w:szCs w:val="32"/>
          <w:lang w:eastAsia="zh-CN"/>
        </w:rPr>
        <w:t>CEU</w:t>
      </w:r>
      <w:r>
        <w:rPr>
          <w:rFonts w:ascii="等线" w:hAnsi="等线" w:eastAsia="等线" w:cstheme="minorHAnsi"/>
          <w:b/>
          <w:bCs/>
          <w:sz w:val="32"/>
          <w:szCs w:val="32"/>
          <w:lang w:eastAsia="zh-CN"/>
        </w:rPr>
        <w:t>课程</w:t>
      </w:r>
      <w:r>
        <w:rPr>
          <w:rFonts w:hint="eastAsia" w:ascii="等线" w:hAnsi="等线" w:eastAsia="等线" w:cstheme="minorHAnsi"/>
          <w:b/>
          <w:bCs/>
          <w:sz w:val="32"/>
          <w:szCs w:val="32"/>
          <w:lang w:val="en-US" w:eastAsia="zh-CN"/>
        </w:rPr>
        <w:t>提供方申请书</w:t>
      </w:r>
    </w:p>
    <w:p w14:paraId="458D1342">
      <w:pPr>
        <w:jc w:val="center"/>
        <w:rPr>
          <w:rFonts w:hint="eastAsia" w:ascii="等线" w:hAnsi="等线" w:eastAsia="等线" w:cstheme="minorHAnsi"/>
          <w:b/>
          <w:bCs/>
          <w:sz w:val="32"/>
          <w:szCs w:val="32"/>
          <w:lang w:val="en-US" w:eastAsia="zh-CN"/>
        </w:rPr>
      </w:pPr>
    </w:p>
    <w:p w14:paraId="28479444"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申请主体：（可以是个人、机构、公司、单位，是IBAO对口的单位）</w:t>
      </w:r>
    </w:p>
    <w:p w14:paraId="4C8CD798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名称：</w:t>
      </w:r>
    </w:p>
    <w:p w14:paraId="3F8023B7">
      <w:pPr>
        <w:numPr>
          <w:ilvl w:val="0"/>
          <w:numId w:val="0"/>
        </w:numPr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营业地址：</w:t>
      </w:r>
    </w:p>
    <w:p w14:paraId="0E85A44D">
      <w:pPr>
        <w:numPr>
          <w:ilvl w:val="0"/>
          <w:numId w:val="0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网站网址或公众号：</w:t>
      </w:r>
    </w:p>
    <w:p w14:paraId="2EDE96B4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等线" w:hAnsi="等线" w:eastAsia="等线" w:cstheme="minorHAnsi"/>
          <w:b/>
          <w:bCs/>
          <w:sz w:val="24"/>
          <w:szCs w:val="24"/>
          <w:lang w:val="en-US" w:eastAsia="zh-CN"/>
        </w:rPr>
      </w:pPr>
      <w:r>
        <w:rPr>
          <w:rFonts w:hint="default" w:ascii="等线" w:hAnsi="等线" w:eastAsia="等线" w:cstheme="minorHAnsi"/>
          <w:b/>
          <w:bCs/>
          <w:sz w:val="24"/>
          <w:szCs w:val="24"/>
          <w:lang w:val="en-US" w:eastAsia="zh-CN"/>
        </w:rPr>
        <w:t>CEU提供方负责人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相关讯息</w:t>
      </w:r>
      <w:r>
        <w:rPr>
          <w:rFonts w:hint="default" w:ascii="等线" w:hAnsi="等线" w:eastAsia="等线" w:cstheme="minorHAnsi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（</w:t>
      </w:r>
      <w:r>
        <w:rPr>
          <w:rFonts w:hint="default" w:ascii="等线" w:hAnsi="等线" w:eastAsia="等线" w:cstheme="minorHAnsi"/>
          <w:b/>
          <w:bCs/>
          <w:sz w:val="24"/>
          <w:szCs w:val="24"/>
          <w:lang w:val="en-US" w:eastAsia="zh-CN"/>
        </w:rPr>
        <w:t>负责人必须是在中文官网缴费登记的IBA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，并且是主要联络人）</w:t>
      </w:r>
    </w:p>
    <w:p w14:paraId="06884C1B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中英文姓名：</w:t>
      </w:r>
    </w:p>
    <w:p w14:paraId="571F1B5B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居住地：（省市）</w:t>
      </w:r>
    </w:p>
    <w:p w14:paraId="3A7B3C2D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身份证号：</w:t>
      </w:r>
    </w:p>
    <w:p w14:paraId="48F4210F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IBA证书号码：</w:t>
      </w:r>
    </w:p>
    <w:p w14:paraId="5BF5A5F5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联络email：</w:t>
      </w:r>
    </w:p>
    <w:p w14:paraId="1C61513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联络电话：</w:t>
      </w:r>
    </w:p>
    <w:p w14:paraId="172A5405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微信号（如果有的话）：</w:t>
      </w:r>
    </w:p>
    <w:p w14:paraId="72C7E7FE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相关证明文件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（附件1）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：请附上下列证明文件，和您申请的主体相关的部分：</w:t>
      </w:r>
    </w:p>
    <w:p w14:paraId="6751D9AB">
      <w:pPr>
        <w:widowControl w:val="0"/>
        <w:numPr>
          <w:ilvl w:val="0"/>
          <w:numId w:val="2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如果主体是公司行号、机构、社团法人、或其他非个人的组织，请附上：</w:t>
      </w:r>
    </w:p>
    <w:p w14:paraId="6524E55C">
      <w:pPr>
        <w:widowControl w:val="0"/>
        <w:numPr>
          <w:ilvl w:val="0"/>
          <w:numId w:val="3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营业执照、单位执照、各种机构的立案许可、或者任何可以证明单位存在的证明文件。</w:t>
      </w:r>
    </w:p>
    <w:p w14:paraId="54345712">
      <w:pPr>
        <w:widowControl w:val="0"/>
        <w:numPr>
          <w:ilvl w:val="0"/>
          <w:numId w:val="3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负责人对单位的关系，包括但不限于：正式雇用文件，股份持有文件，有效的代理合同（至少期限两年以上），或其他任何可以证明负责人与申请主体之间的关系的文件。</w:t>
      </w:r>
    </w:p>
    <w:p w14:paraId="68857518">
      <w:pPr>
        <w:widowControl w:val="0"/>
        <w:numPr>
          <w:ilvl w:val="0"/>
          <w:numId w:val="2"/>
        </w:numPr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如果主体是个人，则必须是负责人本人，必须附上：</w:t>
      </w:r>
    </w:p>
    <w:p w14:paraId="732825CC">
      <w:pPr>
        <w:widowControl w:val="0"/>
        <w:numPr>
          <w:ilvl w:val="0"/>
          <w:numId w:val="4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负责人的身份证件，以下任一：所在当地的身份证，台湾同胞往来大陆通行证，港澳居民来往内地通行证，港澳台居民居住证，或者有效且附有中文姓名的护照。所有证件必须至少六个月内有效。</w:t>
      </w:r>
    </w:p>
    <w:p w14:paraId="25AD026D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等线" w:hAnsi="等线" w:eastAsia="等线" w:cstheme="minorHAnsi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讲师要求：</w:t>
      </w:r>
      <w:r>
        <w:rPr>
          <w:rFonts w:hint="eastAsia" w:ascii="等线" w:hAnsi="等线" w:eastAsia="等线" w:cstheme="minorHAnsi"/>
          <w:b w:val="0"/>
          <w:bCs w:val="0"/>
          <w:sz w:val="24"/>
          <w:szCs w:val="24"/>
          <w:lang w:val="en-US" w:eastAsia="zh-CN"/>
        </w:rPr>
        <w:t>所有除负责人以外的CEU讲师，必须符合以下的条件任一</w:t>
      </w:r>
      <w:r>
        <w:rPr>
          <w:rFonts w:hint="eastAsia" w:ascii="等线" w:hAnsi="等线" w:eastAsia="等线" w:cstheme="minorHAnsi"/>
          <w:b/>
          <w:bCs/>
          <w:color w:val="0070C0"/>
          <w:sz w:val="24"/>
          <w:szCs w:val="24"/>
          <w:lang w:val="en-US" w:eastAsia="zh-CN"/>
        </w:rPr>
        <w:t>（蓝色字为资质代码）</w:t>
      </w:r>
    </w:p>
    <w:p w14:paraId="0388279A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持有IBA证照，并有良好信誉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。</w:t>
      </w:r>
      <w:r>
        <w:rPr>
          <w:rFonts w:hint="eastAsia" w:ascii="等线" w:hAnsi="等线" w:eastAsia="等线" w:cstheme="minorHAnsi"/>
          <w:b/>
          <w:bCs/>
          <w:color w:val="0070C0"/>
          <w:sz w:val="22"/>
          <w:szCs w:val="22"/>
          <w:lang w:val="en-US" w:eastAsia="zh-CN"/>
        </w:rPr>
        <w:t>（IBA）</w:t>
      </w:r>
    </w:p>
    <w:p w14:paraId="41B2C9C6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其他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u w:val="single"/>
          <w:lang w:val="en-US" w:eastAsia="zh-CN"/>
        </w:rPr>
        <w:t>国际</w:t>
      </w:r>
      <w:r>
        <w:rPr>
          <w:rFonts w:hint="default" w:ascii="等线" w:hAnsi="等线" w:eastAsia="等线" w:cstheme="minorHAnsi"/>
          <w:b w:val="0"/>
          <w:bCs w:val="0"/>
          <w:sz w:val="22"/>
          <w:szCs w:val="22"/>
          <w:u w:val="single"/>
          <w:lang w:val="en-US" w:eastAsia="zh-CN"/>
        </w:rPr>
        <w:t>认证机构</w:t>
      </w: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的行为分析师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（BCBA-D，BCBA等）</w:t>
      </w: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，并有良好信誉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。</w:t>
      </w:r>
      <w:r>
        <w:rPr>
          <w:rFonts w:hint="eastAsia" w:ascii="等线" w:hAnsi="等线" w:eastAsia="等线" w:cstheme="minorHAnsi"/>
          <w:b/>
          <w:bCs/>
          <w:color w:val="0070C0"/>
          <w:sz w:val="22"/>
          <w:szCs w:val="22"/>
          <w:lang w:val="en-US" w:eastAsia="zh-CN"/>
        </w:rPr>
        <w:t>（BCBA）</w:t>
      </w:r>
    </w:p>
    <w:p w14:paraId="5F596366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在ABAI认证的课程中取得硕士或博士学位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。</w:t>
      </w:r>
      <w:r>
        <w:rPr>
          <w:rFonts w:hint="eastAsia" w:ascii="等线" w:hAnsi="等线" w:eastAsia="等线" w:cstheme="minorHAnsi"/>
          <w:b/>
          <w:bCs/>
          <w:color w:val="0070C0"/>
          <w:sz w:val="22"/>
          <w:szCs w:val="22"/>
          <w:lang w:val="en-US" w:eastAsia="zh-CN"/>
        </w:rPr>
        <w:t>（ABAI）</w:t>
      </w:r>
    </w:p>
    <w:p w14:paraId="364E249F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取得相关领域的博士学位，并且成功完成IBAO为IBA课程设计要求的REO或等同的目标学习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。</w:t>
      </w:r>
      <w:r>
        <w:rPr>
          <w:rFonts w:hint="eastAsia" w:ascii="等线" w:hAnsi="等线" w:eastAsia="等线" w:cstheme="minorHAnsi"/>
          <w:b/>
          <w:bCs/>
          <w:color w:val="0070C0"/>
          <w:sz w:val="22"/>
          <w:szCs w:val="22"/>
          <w:lang w:val="en-US" w:eastAsia="zh-CN"/>
        </w:rPr>
        <w:t>（PHD）</w:t>
      </w:r>
    </w:p>
    <w:p w14:paraId="6EE170CB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取得硕博士学位，并且</w:t>
      </w: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成功</w:t>
      </w: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完成REO或等同的目标学习，而且有三年或以上提供直接服务以外的资历（例如研究或出版）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。</w:t>
      </w:r>
      <w:r>
        <w:rPr>
          <w:rFonts w:hint="eastAsia" w:ascii="等线" w:hAnsi="等线" w:eastAsia="等线" w:cstheme="minorHAnsi"/>
          <w:b/>
          <w:bCs/>
          <w:color w:val="0070C0"/>
          <w:sz w:val="22"/>
          <w:szCs w:val="22"/>
          <w:lang w:val="en-US" w:eastAsia="zh-CN"/>
        </w:rPr>
        <w:t>（ACAD）</w:t>
      </w:r>
    </w:p>
    <w:p w14:paraId="5ABF1A92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/>
          <w:bCs/>
          <w:color w:val="0070C0"/>
          <w:sz w:val="22"/>
          <w:szCs w:val="22"/>
          <w:lang w:val="en-US" w:eastAsia="zh-CN"/>
        </w:rPr>
      </w:pP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取得</w:t>
      </w: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硕博士学位，并且成功完成REO或等同的目标学习，有三年或以上在ABA领域就职并有督导经验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。</w:t>
      </w:r>
      <w:r>
        <w:rPr>
          <w:rFonts w:hint="eastAsia" w:ascii="等线" w:hAnsi="等线" w:eastAsia="等线" w:cstheme="minorHAnsi"/>
          <w:b/>
          <w:bCs/>
          <w:color w:val="0070C0"/>
          <w:sz w:val="22"/>
          <w:szCs w:val="22"/>
          <w:lang w:val="en-US" w:eastAsia="zh-CN"/>
        </w:rPr>
        <w:t>（EXP）</w:t>
      </w:r>
    </w:p>
    <w:p w14:paraId="2C5B50E3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  <w:t>请将讲师的名单，做成表格，必须要件包括：</w:t>
      </w:r>
    </w:p>
    <w:p w14:paraId="6DADFA7F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  <w:t>（1）讲师姓名，（2）资质代码，以及（3）该要求的具体证明文件（例如，但不限于，IBA证照、BCBA证照、学位或毕业证、REO完成证明等）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（附件2）</w:t>
      </w:r>
    </w:p>
    <w:p w14:paraId="546BD63B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如果在执业过程中有增减讲师，须将更新后的名单提交给审核单位，但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无需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重填本申请书。</w:t>
      </w:r>
    </w:p>
    <w:p w14:paraId="67542174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课程相关资讯：</w:t>
      </w:r>
    </w:p>
    <w:p w14:paraId="45CA69F9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  <w:t>请将准备要开立的课程，做成表格，必须要件包括：(1)课程名称及基本叙述，（2）线上、线下、还是都有，（3）课程的种类（包括：伦理类，督导类，多元文化类，以及ABA相关技术类，可以包含超过一个种类），（4）课程的CEU学分（可以包括超过一类以上的学分，比方说某课程可以是1个伦理类加上2个多元文化类的总共3学分的课程），（5）课程的对象（IBA/IBT持证者，或者IBA/IBT学员），以及（6）课程是否有作为其他认证体系的课程使用（例如，同时授予IBA与BCaBA课程的CEU）。本课单做成附件随本申请书一起缴交。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（附件3）</w:t>
      </w:r>
    </w:p>
    <w:p w14:paraId="2B341D06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  <w:t>如果在执业过程中有增减课程，须将更新后的课单提交给审核单位，但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无需</w:t>
      </w:r>
      <w:r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  <w:t>重填本申请书。</w:t>
      </w:r>
    </w:p>
    <w:p w14:paraId="152803FC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缴费：</w:t>
      </w:r>
    </w:p>
    <w:p w14:paraId="1A105A14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初次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申请人</w:t>
      </w: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请到 ibao.ibao-aba.cn 申请账号，并且选择【新角色申请】--》【授课方CEU】，缴交1000元人民币的申请费（一次性，不退费），将缴费截图一并提交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（附件4）。</w:t>
      </w:r>
    </w:p>
    <w:p w14:paraId="4F8E6DA6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color w:val="auto"/>
          <w:sz w:val="22"/>
          <w:szCs w:val="22"/>
          <w:lang w:val="en-US" w:eastAsia="zh-CN"/>
        </w:rPr>
        <w:t>审核通过后，会通知课程提供方另外缴纳2年年费（CEU：1000元人民币/2年）。</w:t>
      </w:r>
    </w:p>
    <w:p w14:paraId="7619232E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color w:val="auto"/>
          <w:sz w:val="22"/>
          <w:szCs w:val="22"/>
          <w:lang w:val="en-US" w:eastAsia="zh-CN"/>
        </w:rPr>
        <w:t>缴纳完成年费后，会发给课程提供方正式的委托书、以及使用的证号。</w:t>
      </w:r>
    </w:p>
    <w:p w14:paraId="59E63CA9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color w:val="auto"/>
          <w:sz w:val="22"/>
          <w:szCs w:val="22"/>
          <w:lang w:val="en-US" w:eastAsia="zh-CN"/>
        </w:rPr>
        <w:t>年费两年缴交一次。</w:t>
      </w:r>
    </w:p>
    <w:p w14:paraId="11F15E5D"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US" w:eastAsia="zh-CN"/>
        </w:rPr>
        <w:t>CEU申请的切结：</w:t>
      </w:r>
    </w:p>
    <w:p w14:paraId="21B968ED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呈交本申请书，即表示机构单位或个人，愿意遵守以下规定，并由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u w:val="single"/>
          <w:lang w:val="en-US" w:eastAsia="zh-CN"/>
        </w:rPr>
        <w:t>申请负责人代表切结</w:t>
      </w:r>
      <w:r>
        <w:rPr>
          <w:rFonts w:hint="eastAsia" w:ascii="等线" w:hAnsi="等线" w:eastAsia="等线" w:cstheme="minorHAnsi"/>
          <w:b/>
          <w:bCs/>
          <w:color w:val="FF0000"/>
          <w:sz w:val="22"/>
          <w:szCs w:val="22"/>
          <w:lang w:val="en-US" w:eastAsia="zh-CN"/>
        </w:rPr>
        <w:t>，如有违反或未尽职责，IBAO或其代理人有权撤销CEU资格。</w:t>
      </w:r>
    </w:p>
    <w:p w14:paraId="7A754835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确保课程内容与安排符合IBAO规定。</w:t>
      </w:r>
    </w:p>
    <w:p w14:paraId="00600441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确保所有讲师具备CEU讲师资格。</w:t>
      </w:r>
    </w:p>
    <w:p w14:paraId="17796B4C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确保提供的课程与形式符合申请时提交的信息。</w:t>
      </w:r>
    </w:p>
    <w:p w14:paraId="12843C3F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如核准之ACP做出任何相关的改动，包含但不限于对于授课形式的变更或提供课题的变换，必须立刻联系IBAO代理提出改动申请。所有提出的变动均应符合IBAO的规定，方可持续取得ACP资质。</w:t>
      </w:r>
    </w:p>
    <w:p w14:paraId="7E8FF3C5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提供与学时相对应的CEU教学 (50分钟为1个学时)。</w:t>
      </w:r>
    </w:p>
    <w:p w14:paraId="7387DBAE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课程提供方必须提供学员学习CEU完成证书，证书内容包含但不限于: 学员的姓名、证照号或IBAO帐号、课程名称、授课日期与时间、授课方式、课程类别 (伦理、督导、多元文化、或ABA技术) 、课程对象、讲师姓名、课程提供方帐号及其负责人信息。</w:t>
      </w:r>
    </w:p>
    <w:p w14:paraId="2880FC0A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定期缴交ACP费用与相关文件。</w:t>
      </w:r>
    </w:p>
    <w:p w14:paraId="7751C6AC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确保ACP的联系人信息正确。</w:t>
      </w:r>
    </w:p>
    <w:p w14:paraId="78A2550E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ACP负责人须确保将所有课程相关资料建档备查。备查资料包含但不限于: 课程名称、授课方式、课程类别、授课日期与时间、讲师姓名、课程对象 (IBA持证者、IBT持证者、IBA学员、IBT学员)、课程目标、课程招生广告文案、完成学员名单。</w:t>
      </w:r>
      <w:bookmarkStart w:id="0" w:name="_GoBack"/>
      <w:bookmarkEnd w:id="0"/>
    </w:p>
    <w:p w14:paraId="32026CBA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当IBAO及其代理抽查课程时，必须提供所有相关的文件与资料。</w:t>
      </w:r>
    </w:p>
    <w:p w14:paraId="3A626D59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机构、负责人、讲师的行为须符合IBAO伦理准则规定。</w:t>
      </w:r>
    </w:p>
    <w:p w14:paraId="20D1AA8F">
      <w:pPr>
        <w:widowControl w:val="0"/>
        <w:numPr>
          <w:ilvl w:val="0"/>
          <w:numId w:val="5"/>
        </w:numPr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CEU须随时注意总部的讯息、尤其是政策改变的说明；并主动配合参加总部举行的免费的说明会（内容是关于作业流程问题）。</w:t>
      </w:r>
    </w:p>
    <w:p w14:paraId="307C4F08">
      <w:pPr>
        <w:widowControl w:val="0"/>
        <w:numPr>
          <w:numId w:val="0"/>
        </w:numPr>
        <w:tabs>
          <w:tab w:val="left" w:pos="420"/>
        </w:tabs>
        <w:spacing w:line="360" w:lineRule="auto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切结人：（打字代替签名）</w:t>
      </w:r>
    </w:p>
    <w:p w14:paraId="6B7FC0C7">
      <w:pPr>
        <w:widowControl w:val="0"/>
        <w:numPr>
          <w:numId w:val="0"/>
        </w:numPr>
        <w:tabs>
          <w:tab w:val="left" w:pos="420"/>
        </w:tabs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日期：</w:t>
      </w:r>
    </w:p>
    <w:p w14:paraId="0CFE5306">
      <w:pPr>
        <w:widowControl w:val="0"/>
        <w:numPr>
          <w:numId w:val="0"/>
        </w:numPr>
        <w:pBdr>
          <w:bottom w:val="dotted" w:color="auto" w:sz="24" w:space="0"/>
        </w:pBdr>
        <w:tabs>
          <w:tab w:val="left" w:pos="420"/>
        </w:tabs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</w:p>
    <w:p w14:paraId="76F02B7E">
      <w:pPr>
        <w:widowControl w:val="0"/>
        <w:numPr>
          <w:numId w:val="0"/>
        </w:numPr>
        <w:tabs>
          <w:tab w:val="left" w:pos="420"/>
        </w:tabs>
        <w:spacing w:line="360" w:lineRule="auto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</w:p>
    <w:p w14:paraId="27B7A67D">
      <w:pPr>
        <w:widowControl w:val="0"/>
        <w:numPr>
          <w:numId w:val="0"/>
        </w:numPr>
        <w:tabs>
          <w:tab w:val="left" w:pos="420"/>
        </w:tabs>
        <w:spacing w:line="360" w:lineRule="auto"/>
        <w:jc w:val="both"/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</w:pPr>
    </w:p>
    <w:p w14:paraId="385AB179">
      <w:pPr>
        <w:widowControl w:val="0"/>
        <w:numPr>
          <w:numId w:val="0"/>
        </w:numPr>
        <w:tabs>
          <w:tab w:val="left" w:pos="420"/>
        </w:tabs>
        <w:spacing w:line="360" w:lineRule="auto"/>
        <w:jc w:val="both"/>
        <w:rPr>
          <w:rFonts w:hint="default" w:ascii="等线" w:hAnsi="等线" w:eastAsia="等线" w:cstheme="minorHAnsi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/>
          <w:bCs/>
          <w:sz w:val="22"/>
          <w:szCs w:val="22"/>
          <w:lang w:val="en-US" w:eastAsia="zh-CN"/>
        </w:rPr>
        <w:t>附带说明：</w:t>
      </w:r>
    </w:p>
    <w:p w14:paraId="4DC3E048">
      <w:pPr>
        <w:widowControl w:val="0"/>
        <w:numPr>
          <w:ilvl w:val="0"/>
          <w:numId w:val="6"/>
        </w:numPr>
        <w:tabs>
          <w:tab w:val="left" w:pos="420"/>
        </w:tabs>
        <w:spacing w:line="360" w:lineRule="auto"/>
        <w:ind w:left="425" w:leftChars="0" w:hanging="425" w:firstLineChars="0"/>
        <w:jc w:val="both"/>
        <w:rPr>
          <w:rFonts w:hint="default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IBAO及其代理人会在30天内完成初次申请审核，10个工作日内完成重新提交内容之审核。通常流程会比这个快一点。</w:t>
      </w:r>
    </w:p>
    <w:p w14:paraId="7D0E03FC">
      <w:pPr>
        <w:widowControl w:val="0"/>
        <w:numPr>
          <w:ilvl w:val="0"/>
          <w:numId w:val="6"/>
        </w:numPr>
        <w:tabs>
          <w:tab w:val="left" w:pos="420"/>
        </w:tabs>
        <w:spacing w:line="360" w:lineRule="auto"/>
        <w:ind w:left="425" w:leftChars="0" w:hanging="425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除了上述无需重新提交申请表的项目外，如授课方决定更改名称、负责人、基本服务对象或形式、或者其他大幅度的更动，必须重新提交本申请书。</w:t>
      </w:r>
    </w:p>
    <w:p w14:paraId="3069E0DA">
      <w:pPr>
        <w:widowControl w:val="0"/>
        <w:numPr>
          <w:ilvl w:val="0"/>
          <w:numId w:val="6"/>
        </w:numPr>
        <w:tabs>
          <w:tab w:val="left" w:pos="420"/>
        </w:tabs>
        <w:spacing w:line="360" w:lineRule="auto"/>
        <w:ind w:left="425" w:leftChars="0" w:hanging="425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本授权是跟着【申请主体】的。</w:t>
      </w:r>
    </w:p>
    <w:p w14:paraId="0C21F881">
      <w:pPr>
        <w:widowControl w:val="0"/>
        <w:numPr>
          <w:ilvl w:val="1"/>
          <w:numId w:val="6"/>
        </w:numPr>
        <w:tabs>
          <w:tab w:val="left" w:pos="420"/>
          <w:tab w:val="clear" w:pos="840"/>
        </w:tabs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如果主体是个人，则授权跟着个人走，即使个人离职到新机构上班，我们也是跟着个人行动。</w:t>
      </w:r>
    </w:p>
    <w:p w14:paraId="3CD800FE">
      <w:pPr>
        <w:widowControl w:val="0"/>
        <w:numPr>
          <w:ilvl w:val="1"/>
          <w:numId w:val="6"/>
        </w:numPr>
        <w:tabs>
          <w:tab w:val="left" w:pos="420"/>
          <w:tab w:val="clear" w:pos="840"/>
        </w:tabs>
        <w:spacing w:line="360" w:lineRule="auto"/>
        <w:ind w:left="840" w:leftChars="0" w:hanging="420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如果主体是机构或商号，如果负责人换人，机构必须在30天内提交替换的人选进行审核，无需另外缴费；但是离开的原来负责人需要重新缴费申请才能继续担任CEU提供方。</w:t>
      </w:r>
    </w:p>
    <w:p w14:paraId="47AEA035">
      <w:pPr>
        <w:widowControl w:val="0"/>
        <w:numPr>
          <w:ilvl w:val="0"/>
          <w:numId w:val="6"/>
        </w:numPr>
        <w:tabs>
          <w:tab w:val="left" w:pos="420"/>
        </w:tabs>
        <w:spacing w:line="360" w:lineRule="auto"/>
        <w:ind w:left="425" w:leftChars="0" w:hanging="425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本申请核准后2年内有效，两年到期必须重新续费，续费须在授权到期前30日完成，否则需要重新申请并缴交一次性审核费用。</w:t>
      </w:r>
    </w:p>
    <w:p w14:paraId="7AEA427B">
      <w:pPr>
        <w:widowControl w:val="0"/>
        <w:numPr>
          <w:ilvl w:val="0"/>
          <w:numId w:val="6"/>
        </w:numPr>
        <w:tabs>
          <w:tab w:val="left" w:pos="420"/>
        </w:tabs>
        <w:spacing w:line="360" w:lineRule="auto"/>
        <w:ind w:left="425" w:leftChars="0" w:hanging="425" w:firstLineChars="0"/>
        <w:jc w:val="both"/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续费时如果没有更动原来的内容，可以不必重新提交本申请书。</w:t>
      </w:r>
    </w:p>
    <w:p w14:paraId="4AB03F44">
      <w:pPr>
        <w:widowControl w:val="0"/>
        <w:numPr>
          <w:ilvl w:val="0"/>
          <w:numId w:val="6"/>
        </w:numPr>
        <w:tabs>
          <w:tab w:val="left" w:pos="420"/>
        </w:tabs>
        <w:spacing w:line="360" w:lineRule="auto"/>
        <w:ind w:left="425" w:leftChars="0" w:hanging="425" w:firstLineChars="0"/>
        <w:jc w:val="both"/>
        <w:rPr>
          <w:sz w:val="22"/>
          <w:szCs w:val="22"/>
        </w:rPr>
      </w:pPr>
      <w:r>
        <w:rPr>
          <w:rFonts w:hint="eastAsia" w:ascii="等线" w:hAnsi="等线" w:eastAsia="等线" w:cstheme="minorHAnsi"/>
          <w:b w:val="0"/>
          <w:bCs w:val="0"/>
          <w:sz w:val="22"/>
          <w:szCs w:val="22"/>
          <w:lang w:val="en-US" w:eastAsia="zh-CN"/>
        </w:rPr>
        <w:t>总部如有改变政策、切结内容，会通知CEU课程提供方，发给新的切结内容，重新切结即可。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0F5B6">
    <w:pPr>
      <w:pStyle w:val="2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1135" cy="546100"/>
          <wp:effectExtent l="0" t="0" r="1905" b="0"/>
          <wp:docPr id="1" name="图片 5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37377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9230" cy="576580"/>
          <wp:effectExtent l="0" t="0" r="0" b="0"/>
          <wp:docPr id="2" name="图片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2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E8A8C"/>
    <w:multiLevelType w:val="singleLevel"/>
    <w:tmpl w:val="A0CE8A8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  <w:color w:val="auto"/>
      </w:rPr>
    </w:lvl>
  </w:abstractNum>
  <w:abstractNum w:abstractNumId="1">
    <w:nsid w:val="B3BEC500"/>
    <w:multiLevelType w:val="singleLevel"/>
    <w:tmpl w:val="B3BEC50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  <w:sz w:val="24"/>
        <w:szCs w:val="24"/>
      </w:rPr>
    </w:lvl>
  </w:abstractNum>
  <w:abstractNum w:abstractNumId="2">
    <w:nsid w:val="FA35C36C"/>
    <w:multiLevelType w:val="singleLevel"/>
    <w:tmpl w:val="FA35C36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2FFDAA0"/>
    <w:multiLevelType w:val="singleLevel"/>
    <w:tmpl w:val="02FFDA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5677EE6"/>
    <w:multiLevelType w:val="multilevel"/>
    <w:tmpl w:val="35677E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53F8D349"/>
    <w:multiLevelType w:val="multilevel"/>
    <w:tmpl w:val="53F8D349"/>
    <w:lvl w:ilvl="0" w:tentative="0">
      <w:start w:val="1"/>
      <w:numFmt w:val="lowerLetter"/>
      <w:suff w:val="space"/>
      <w:lvlText w:val="(%1)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mY3NDZlY2JjNDFiYmYzNmRhZjQ4YzI3MzRlYjIifQ=="/>
  </w:docVars>
  <w:rsids>
    <w:rsidRoot w:val="046D3B95"/>
    <w:rsid w:val="046D3B95"/>
    <w:rsid w:val="0FCD4A15"/>
    <w:rsid w:val="166F135A"/>
    <w:rsid w:val="487A1A11"/>
    <w:rsid w:val="4AEB0E78"/>
    <w:rsid w:val="69413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1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hs\AppData\Roaming\kingsoft\office6\templates\docerresourceshop\ugc\template\297320830673\6ab35433d6464dfcee62b07d015972715c60d588\&#39134;&#25289;&#34678;&#39134;word&#35268;&#3353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飞拉蝶飞word规范.doc</Template>
  <Pages>4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2024-09-03T01:07:00Z</dcterms:created>
  <dc:creator>谢文政</dc:creator>
  <cp:lastModifiedBy>谢文政</cp:lastModifiedBy>
  <dcterms:modified xsi:type="dcterms:W3CDTF">2024-09-03T07:54:39Z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DE1837B9F9404773BC84063EC40AA4B1_11</vt:lpwstr>
  </property>
</Properties>
</file>